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2000000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Разъяснен порядок действий в случае, когда труд оформлен как услуга.</w:t>
      </w: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Верховный суд Российской Федерации в Обзоре судебной практики № 3, утвержденной Президиумом Верховного Суда Российской Федерации 08.10.2025, разъяснил порядок действий в случае, если труд оформлен как услуга.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Гражданин С. несколько лет работал сторожем, с ним ежемесячно заключались гражданско-правовые договоры. В результате ему не оплачивали больничные, отпуска, не производились страховые отчисления.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Когда гражданин обратился в суд, работодатель заявил, что гражданин С. пропустил годичный срок для взыскания неоплаченной зарплаты, предусмотренный ч. 2 ст. 392 Трудового кодекса Российской Федерации.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Верховный суд Российской Федерации пояснил, что срок для обращения в суд начинает течь не с момента каждой невыплаты, а с того дня, когда суд официально признал отношения трудовыми. Если гражданин работает по договору подряда или оказания услуг, но подчиняется правилам внутреннего трудового распорядка, получает регулярную оплату и выполняет постоянную работу, то он может требовать признания отношений трудовыми.</w:t>
      </w: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при подачи искового заявления в суд необходимо требовать признания отношений трудовыми, взыскание всех невыплаченных сумм.</w:t>
      </w:r>
    </w:p>
    <w:p w14:paraId="09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Трудовой договор гарантирует выплату заработной платы не ниже минимального размера оплаты труда, оплачиваемые отпуск и больничный, страховые пенсионные отчисления, защиту от произвольного увольнения.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basedOn w:val="Style_1"/>
    <w:next w:val="Style_1"/>
    <w:link w:val="Style_8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8_ch" w:type="character">
    <w:name w:val="heading 3"/>
    <w:basedOn w:val="Style_1_ch"/>
    <w:link w:val="Style_8"/>
    <w:rPr>
      <w:color w:themeColor="accent1" w:themeShade="BF" w:val="2F5496"/>
      <w:sz w:val="28"/>
    </w:rPr>
  </w:style>
  <w:style w:styleId="Style_9" w:type="paragraph">
    <w:name w:val="List Paragraph"/>
    <w:basedOn w:val="Style_1"/>
    <w:link w:val="Style_9_ch"/>
    <w:pPr>
      <w:ind w:firstLine="0" w:left="720"/>
      <w:contextualSpacing w:val="1"/>
    </w:pPr>
  </w:style>
  <w:style w:styleId="Style_9_ch" w:type="character">
    <w:name w:val="List Paragraph"/>
    <w:basedOn w:val="Style_1_ch"/>
    <w:link w:val="Style_9"/>
  </w:style>
  <w:style w:styleId="Style_10" w:type="paragraph">
    <w:name w:val="heading 9"/>
    <w:basedOn w:val="Style_1"/>
    <w:next w:val="Style_1"/>
    <w:link w:val="Style_10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0_ch" w:type="character">
    <w:name w:val="heading 9"/>
    <w:basedOn w:val="Style_1_ch"/>
    <w:link w:val="Style_10"/>
    <w:rPr>
      <w:color w:themeColor="text1" w:themeTint="D8" w:val="272727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Quote"/>
    <w:basedOn w:val="Style_1"/>
    <w:next w:val="Style_1"/>
    <w:link w:val="Style_12_ch"/>
    <w:pPr>
      <w:spacing w:before="160"/>
      <w:ind/>
      <w:jc w:val="center"/>
    </w:pPr>
    <w:rPr>
      <w:i w:val="1"/>
      <w:color w:themeColor="text1" w:themeTint="BF" w:val="404040"/>
    </w:rPr>
  </w:style>
  <w:style w:styleId="Style_12_ch" w:type="character">
    <w:name w:val="Quote"/>
    <w:basedOn w:val="Style_1_ch"/>
    <w:link w:val="Style_12"/>
    <w:rPr>
      <w:i w:val="1"/>
      <w:color w:themeColor="text1" w:themeTint="BF" w:val="404040"/>
    </w:rPr>
  </w:style>
  <w:style w:styleId="Style_13" w:type="paragraph">
    <w:name w:val="toc 3"/>
    <w:next w:val="Style_1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Intense Quote"/>
    <w:basedOn w:val="Style_1"/>
    <w:next w:val="Style_1"/>
    <w:link w:val="Style_14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14_ch" w:type="character">
    <w:name w:val="Intense Quote"/>
    <w:basedOn w:val="Style_1_ch"/>
    <w:link w:val="Style_14"/>
    <w:rPr>
      <w:i w:val="1"/>
      <w:color w:themeColor="accent1" w:themeShade="BF" w:val="2F5496"/>
    </w:rPr>
  </w:style>
  <w:style w:styleId="Style_15" w:type="paragraph">
    <w:name w:val="heading 5"/>
    <w:basedOn w:val="Style_1"/>
    <w:next w:val="Style_1"/>
    <w:link w:val="Style_15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5_ch" w:type="character">
    <w:name w:val="heading 5"/>
    <w:basedOn w:val="Style_1_ch"/>
    <w:link w:val="Style_15"/>
    <w:rPr>
      <w:color w:themeColor="accent1" w:themeShade="BF" w:val="2F5496"/>
    </w:rPr>
  </w:style>
  <w:style w:styleId="Style_16" w:type="paragraph">
    <w:name w:val="Intense Emphasis"/>
    <w:basedOn w:val="Style_11"/>
    <w:link w:val="Style_16_ch"/>
    <w:rPr>
      <w:i w:val="1"/>
      <w:color w:themeColor="accent1" w:themeShade="BF" w:val="2F5496"/>
    </w:rPr>
  </w:style>
  <w:style w:styleId="Style_16_ch" w:type="character">
    <w:name w:val="Intense Emphasis"/>
    <w:basedOn w:val="Style_11_ch"/>
    <w:link w:val="Style_16"/>
    <w:rPr>
      <w:i w:val="1"/>
      <w:color w:themeColor="accent1" w:themeShade="BF" w:val="2F5496"/>
    </w:rPr>
  </w:style>
  <w:style w:styleId="Style_17" w:type="paragraph">
    <w:name w:val="heading 1"/>
    <w:basedOn w:val="Style_1"/>
    <w:next w:val="Style_1"/>
    <w:link w:val="Style_17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7_ch" w:type="character">
    <w:name w:val="heading 1"/>
    <w:basedOn w:val="Style_1_ch"/>
    <w:link w:val="Style_17"/>
    <w:rPr>
      <w:rFonts w:asciiTheme="majorAscii" w:hAnsiTheme="majorHAnsi"/>
      <w:color w:themeColor="accent1" w:themeShade="BF" w:val="2F5496"/>
      <w:sz w:val="40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heading 8"/>
    <w:basedOn w:val="Style_1"/>
    <w:next w:val="Style_1"/>
    <w:link w:val="Style_20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20_ch" w:type="character">
    <w:name w:val="heading 8"/>
    <w:basedOn w:val="Style_1_ch"/>
    <w:link w:val="Style_20"/>
    <w:rPr>
      <w:i w:val="1"/>
      <w:color w:themeColor="text1" w:themeTint="D8" w:val="272727"/>
    </w:rPr>
  </w:style>
  <w:style w:styleId="Style_21" w:type="paragraph">
    <w:name w:val="toc 1"/>
    <w:next w:val="Style_1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1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1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1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basedOn w:val="Style_1"/>
    <w:next w:val="Style_1"/>
    <w:link w:val="Style_26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6_ch" w:type="character">
    <w:name w:val="Subtitle"/>
    <w:basedOn w:val="Style_1_ch"/>
    <w:link w:val="Style_26"/>
    <w:rPr>
      <w:color w:themeColor="text1" w:themeTint="A6" w:val="595959"/>
      <w:spacing w:val="15"/>
      <w:sz w:val="28"/>
    </w:rPr>
  </w:style>
  <w:style w:styleId="Style_27" w:type="paragraph">
    <w:name w:val="Intense Reference"/>
    <w:basedOn w:val="Style_11"/>
    <w:link w:val="Style_27_ch"/>
    <w:rPr>
      <w:b w:val="1"/>
      <w:smallCaps w:val="1"/>
      <w:color w:themeColor="accent1" w:themeShade="BF" w:val="2F5496"/>
      <w:spacing w:val="5"/>
    </w:rPr>
  </w:style>
  <w:style w:styleId="Style_27_ch" w:type="character">
    <w:name w:val="Intense Reference"/>
    <w:basedOn w:val="Style_11_ch"/>
    <w:link w:val="Style_27"/>
    <w:rPr>
      <w:b w:val="1"/>
      <w:smallCaps w:val="1"/>
      <w:color w:themeColor="accent1" w:themeShade="BF" w:val="2F5496"/>
      <w:spacing w:val="5"/>
    </w:rPr>
  </w:style>
  <w:style w:styleId="Style_28" w:type="paragraph">
    <w:name w:val="Title"/>
    <w:basedOn w:val="Style_1"/>
    <w:next w:val="Style_1"/>
    <w:link w:val="Style_28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2025-12-15T17:07:19Z</dcterms:modified>
</cp:coreProperties>
</file>